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6B7" w:rsidRPr="003B59CE" w:rsidRDefault="00F834D5" w:rsidP="003B59C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9CE">
        <w:rPr>
          <w:rFonts w:ascii="Times New Roman" w:hAnsi="Times New Roman" w:cs="Times New Roman"/>
          <w:b/>
          <w:sz w:val="24"/>
          <w:szCs w:val="24"/>
        </w:rPr>
        <w:t>Managerial finance</w:t>
      </w:r>
    </w:p>
    <w:p w:rsidR="003B59CE" w:rsidRPr="003B59CE" w:rsidRDefault="003B59CE" w:rsidP="003B59C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9CE">
        <w:rPr>
          <w:rFonts w:ascii="Times New Roman" w:hAnsi="Times New Roman" w:cs="Times New Roman"/>
          <w:b/>
          <w:sz w:val="24"/>
          <w:szCs w:val="24"/>
        </w:rPr>
        <w:t>Assignment #1</w:t>
      </w:r>
    </w:p>
    <w:p w:rsidR="00794F70" w:rsidRPr="003B59CE" w:rsidRDefault="00794F70" w:rsidP="003B59C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59CE">
        <w:rPr>
          <w:rFonts w:ascii="Times New Roman" w:hAnsi="Times New Roman" w:cs="Times New Roman"/>
          <w:sz w:val="24"/>
          <w:szCs w:val="24"/>
        </w:rPr>
        <w:t xml:space="preserve">Yes, I believe managers would be able to use Net Present Value to make an investment decision for Tesla. </w:t>
      </w:r>
      <w:r w:rsidR="00F22C1A" w:rsidRPr="003B59CE">
        <w:rPr>
          <w:rFonts w:ascii="Times New Roman" w:hAnsi="Times New Roman" w:cs="Times New Roman"/>
          <w:sz w:val="24"/>
          <w:szCs w:val="24"/>
        </w:rPr>
        <w:t xml:space="preserve">Tesla, which was formed in 2009, was reporting a negative income till 2019. Negative income, however does not mean the company was reporting a negative net present value for the ten years. Negative income does not necessarily result to negative net present value. </w:t>
      </w:r>
      <w:r w:rsidR="00DC353F" w:rsidRPr="003B59CE">
        <w:rPr>
          <w:rFonts w:ascii="Times New Roman" w:hAnsi="Times New Roman" w:cs="Times New Roman"/>
          <w:sz w:val="24"/>
          <w:szCs w:val="24"/>
        </w:rPr>
        <w:t xml:space="preserve">There is a possibility that the considered time horizon for Tesla is longer than the ten years and the company could produce positive cash flows in the future which may lead to a positive </w:t>
      </w:r>
      <w:r w:rsidR="00D857C4">
        <w:rPr>
          <w:rFonts w:ascii="Times New Roman" w:hAnsi="Times New Roman" w:cs="Times New Roman"/>
          <w:sz w:val="24"/>
          <w:szCs w:val="24"/>
        </w:rPr>
        <w:t>net present value</w:t>
      </w:r>
      <w:r w:rsidR="00DC353F" w:rsidRPr="003B59CE">
        <w:rPr>
          <w:rFonts w:ascii="Times New Roman" w:hAnsi="Times New Roman" w:cs="Times New Roman"/>
          <w:sz w:val="24"/>
          <w:szCs w:val="24"/>
        </w:rPr>
        <w:t xml:space="preserve">. The company’s valuation has increased over the years despite negative cash flows, which indicates a positive investor sentiment. Thus, there is a possibility of Tesla recording positive cash flows. Hence, negative cash flows for a period should not be considered as an indicator of negative net present value. Therefore, managers can still apply net present value to such products and consider a longer time frame </w:t>
      </w:r>
      <w:r w:rsidR="00B109A6" w:rsidRPr="003B59CE">
        <w:rPr>
          <w:rFonts w:ascii="Times New Roman" w:hAnsi="Times New Roman" w:cs="Times New Roman"/>
          <w:sz w:val="24"/>
          <w:szCs w:val="24"/>
        </w:rPr>
        <w:t xml:space="preserve">to judge project profitability. </w:t>
      </w:r>
      <w:bookmarkStart w:id="0" w:name="_GoBack"/>
      <w:bookmarkEnd w:id="0"/>
    </w:p>
    <w:sectPr w:rsidR="00794F70" w:rsidRPr="003B59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4D5"/>
    <w:rsid w:val="0008447D"/>
    <w:rsid w:val="003B59CE"/>
    <w:rsid w:val="00570AD3"/>
    <w:rsid w:val="00794F70"/>
    <w:rsid w:val="00B109A6"/>
    <w:rsid w:val="00D857C4"/>
    <w:rsid w:val="00DC353F"/>
    <w:rsid w:val="00F22C1A"/>
    <w:rsid w:val="00F8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E68D9"/>
  <w15:chartTrackingRefBased/>
  <w15:docId w15:val="{07B83E47-F190-45DF-8C85-C8373326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2021-02-27T16:23:00Z</dcterms:created>
  <dcterms:modified xsi:type="dcterms:W3CDTF">2021-02-27T16:57:00Z</dcterms:modified>
</cp:coreProperties>
</file>